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78A31" w14:textId="3E55C42C" w:rsidR="00170181" w:rsidRPr="00170181" w:rsidRDefault="00170181" w:rsidP="0017018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70181">
        <w:rPr>
          <w:rFonts w:ascii="Times New Roman" w:hAnsi="Times New Roman" w:cs="Times New Roman"/>
          <w:b/>
          <w:bCs/>
          <w:sz w:val="32"/>
          <w:szCs w:val="32"/>
        </w:rPr>
        <w:t>Employment Stata Regression Exercise</w:t>
      </w:r>
    </w:p>
    <w:p w14:paraId="54F60B56" w14:textId="2A386F56" w:rsidR="00170181" w:rsidRPr="00170181" w:rsidRDefault="00170181" w:rsidP="00170181">
      <w:pPr>
        <w:rPr>
          <w:rFonts w:ascii="Times New Roman" w:hAnsi="Times New Roman" w:cs="Times New Roman"/>
          <w:b/>
          <w:bCs/>
        </w:rPr>
      </w:pPr>
      <w:r w:rsidRPr="00170181">
        <w:rPr>
          <w:rFonts w:ascii="Times New Roman" w:hAnsi="Times New Roman" w:cs="Times New Roman"/>
          <w:b/>
          <w:bCs/>
        </w:rPr>
        <w:t>Methodology</w:t>
      </w:r>
    </w:p>
    <w:p w14:paraId="5BCB4A6D" w14:textId="6D73FC98" w:rsidR="00170181" w:rsidRP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Employment ranges relevant to a cluster/state are marked as ‘1’ for that location, marked ‘0’ otherwise</w:t>
      </w:r>
      <w:r w:rsidRPr="00170181">
        <w:rPr>
          <w:rFonts w:ascii="Times New Roman" w:hAnsi="Times New Roman" w:cs="Times New Roman"/>
        </w:rPr>
        <w:t>.</w:t>
      </w:r>
    </w:p>
    <w:p w14:paraId="2A916919" w14:textId="5CDCDFAF" w:rsidR="00170181" w:rsidRP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The independent variables of funding of Pre-Seed – Seed (PSSFS), Early Stage (ESFS), Late Stage (LSFS), Acquired (AFS), Public (IPOFS), Deadpooled (DFS) are computed as a share of total funding from all categories of funding in a given location total</w:t>
      </w:r>
      <w:r w:rsidRPr="00170181">
        <w:rPr>
          <w:rFonts w:ascii="Times New Roman" w:hAnsi="Times New Roman" w:cs="Times New Roman"/>
        </w:rPr>
        <w:t>.</w:t>
      </w:r>
    </w:p>
    <w:p w14:paraId="5056556C" w14:textId="754A8E2F" w:rsidR="00286B26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Re</w:t>
      </w:r>
      <w:r w:rsidRPr="00170181">
        <w:rPr>
          <w:rFonts w:ascii="Times New Roman" w:hAnsi="Times New Roman" w:cs="Times New Roman"/>
        </w:rPr>
        <w:t>g</w:t>
      </w:r>
      <w:r w:rsidRPr="00170181">
        <w:rPr>
          <w:rFonts w:ascii="Times New Roman" w:hAnsi="Times New Roman" w:cs="Times New Roman"/>
        </w:rPr>
        <w:t>ulatory Sandbox Funding (RSFS) is computed as a share of the national total funding for sandbox firms in UK</w:t>
      </w:r>
      <w:r w:rsidRPr="00170181">
        <w:rPr>
          <w:rFonts w:ascii="Times New Roman" w:hAnsi="Times New Roman" w:cs="Times New Roman"/>
        </w:rPr>
        <w:t>.</w:t>
      </w:r>
    </w:p>
    <w:p w14:paraId="18F6A5A1" w14:textId="3AD6BDEA" w:rsid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Only clusters with total startups more than 5 are considered, leading to a total of 12 locations in India and 14 locations in UK.</w:t>
      </w:r>
    </w:p>
    <w:p w14:paraId="27358B22" w14:textId="7D7D7FE4" w:rsidR="00C12A06" w:rsidRDefault="00C12A06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Employment tabs are created for each location, corresponding to the size of each company. A total of 5 tabs are created, with an average number of employees assigned for each tab. The list of tabs and corresponding average employees is provided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79"/>
        <w:gridCol w:w="2717"/>
      </w:tblGrid>
      <w:tr w:rsidR="00C12A06" w14:paraId="4722F053" w14:textId="77777777" w:rsidTr="00C12A06">
        <w:trPr>
          <w:jc w:val="center"/>
        </w:trPr>
        <w:tc>
          <w:tcPr>
            <w:tcW w:w="3379" w:type="dxa"/>
          </w:tcPr>
          <w:p w14:paraId="2E12D99A" w14:textId="5A42655D" w:rsidR="00C12A06" w:rsidRPr="007F2336" w:rsidRDefault="00C12A06" w:rsidP="00C12A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336">
              <w:rPr>
                <w:rFonts w:ascii="Times New Roman" w:hAnsi="Times New Roman" w:cs="Times New Roman"/>
                <w:b/>
                <w:bCs/>
              </w:rPr>
              <w:t>Employment Tab</w:t>
            </w:r>
          </w:p>
        </w:tc>
        <w:tc>
          <w:tcPr>
            <w:tcW w:w="2717" w:type="dxa"/>
          </w:tcPr>
          <w:p w14:paraId="2432ACFB" w14:textId="7F4E51A6" w:rsidR="00C12A06" w:rsidRPr="007F2336" w:rsidRDefault="00C12A06" w:rsidP="00C12A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336">
              <w:rPr>
                <w:rFonts w:ascii="Times New Roman" w:hAnsi="Times New Roman" w:cs="Times New Roman"/>
                <w:b/>
                <w:bCs/>
              </w:rPr>
              <w:t>Average # of Employees</w:t>
            </w:r>
          </w:p>
        </w:tc>
      </w:tr>
      <w:tr w:rsidR="00C12A06" w14:paraId="26EF636B" w14:textId="77777777" w:rsidTr="00C12A06">
        <w:trPr>
          <w:jc w:val="center"/>
        </w:trPr>
        <w:tc>
          <w:tcPr>
            <w:tcW w:w="3379" w:type="dxa"/>
          </w:tcPr>
          <w:p w14:paraId="226A8382" w14:textId="65553F6F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 Employees</w:t>
            </w:r>
          </w:p>
        </w:tc>
        <w:tc>
          <w:tcPr>
            <w:tcW w:w="2717" w:type="dxa"/>
          </w:tcPr>
          <w:p w14:paraId="6B43E685" w14:textId="126F6084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12A06" w14:paraId="3EE49E45" w14:textId="77777777" w:rsidTr="00C12A06">
        <w:trPr>
          <w:jc w:val="center"/>
        </w:trPr>
        <w:tc>
          <w:tcPr>
            <w:tcW w:w="3379" w:type="dxa"/>
          </w:tcPr>
          <w:p w14:paraId="48C5D750" w14:textId="5CC38E9A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11-50 Employees</w:t>
            </w:r>
          </w:p>
        </w:tc>
        <w:tc>
          <w:tcPr>
            <w:tcW w:w="2717" w:type="dxa"/>
          </w:tcPr>
          <w:p w14:paraId="68E1F0ED" w14:textId="75F9EE57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12A06" w14:paraId="2B53CD7E" w14:textId="77777777" w:rsidTr="00C12A06">
        <w:trPr>
          <w:jc w:val="center"/>
        </w:trPr>
        <w:tc>
          <w:tcPr>
            <w:tcW w:w="3379" w:type="dxa"/>
          </w:tcPr>
          <w:p w14:paraId="6398A5AA" w14:textId="047DB589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51-250 Employees</w:t>
            </w:r>
          </w:p>
        </w:tc>
        <w:tc>
          <w:tcPr>
            <w:tcW w:w="2717" w:type="dxa"/>
          </w:tcPr>
          <w:p w14:paraId="72185A79" w14:textId="7FFFBF19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C12A06" w14:paraId="2D605A23" w14:textId="77777777" w:rsidTr="00C12A06">
        <w:trPr>
          <w:jc w:val="center"/>
        </w:trPr>
        <w:tc>
          <w:tcPr>
            <w:tcW w:w="3379" w:type="dxa"/>
          </w:tcPr>
          <w:p w14:paraId="48FF263A" w14:textId="152D93E3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251-1,000 Employees</w:t>
            </w:r>
          </w:p>
        </w:tc>
        <w:tc>
          <w:tcPr>
            <w:tcW w:w="2717" w:type="dxa"/>
          </w:tcPr>
          <w:p w14:paraId="7F6A5589" w14:textId="3B08130D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</w:t>
            </w:r>
          </w:p>
        </w:tc>
      </w:tr>
      <w:tr w:rsidR="00C12A06" w14:paraId="4AFE147B" w14:textId="77777777" w:rsidTr="00C12A06">
        <w:trPr>
          <w:jc w:val="center"/>
        </w:trPr>
        <w:tc>
          <w:tcPr>
            <w:tcW w:w="3379" w:type="dxa"/>
          </w:tcPr>
          <w:p w14:paraId="7C2A41A7" w14:textId="680B3F10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1,001-10,000 Employees</w:t>
            </w:r>
          </w:p>
        </w:tc>
        <w:tc>
          <w:tcPr>
            <w:tcW w:w="2717" w:type="dxa"/>
          </w:tcPr>
          <w:p w14:paraId="7C25A37E" w14:textId="33F1996E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5,500</w:t>
            </w:r>
          </w:p>
        </w:tc>
      </w:tr>
      <w:tr w:rsidR="00C12A06" w14:paraId="52AE8EC2" w14:textId="77777777" w:rsidTr="00C12A06">
        <w:trPr>
          <w:jc w:val="center"/>
        </w:trPr>
        <w:tc>
          <w:tcPr>
            <w:tcW w:w="3379" w:type="dxa"/>
          </w:tcPr>
          <w:p w14:paraId="1BF2E61C" w14:textId="4420C9B3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10,000+ Employees</w:t>
            </w:r>
          </w:p>
        </w:tc>
        <w:tc>
          <w:tcPr>
            <w:tcW w:w="2717" w:type="dxa"/>
          </w:tcPr>
          <w:p w14:paraId="50727991" w14:textId="20CCD2F4" w:rsidR="00C12A06" w:rsidRDefault="00C12A06" w:rsidP="00C1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12,000</w:t>
            </w:r>
          </w:p>
        </w:tc>
      </w:tr>
    </w:tbl>
    <w:p w14:paraId="69406D46" w14:textId="77777777" w:rsidR="00C12A06" w:rsidRPr="00C12A06" w:rsidRDefault="00C12A06" w:rsidP="00C12A06">
      <w:pPr>
        <w:jc w:val="center"/>
        <w:rPr>
          <w:rFonts w:ascii="Times New Roman" w:hAnsi="Times New Roman" w:cs="Times New Roman"/>
        </w:rPr>
      </w:pPr>
    </w:p>
    <w:p w14:paraId="1B5A2494" w14:textId="562EF09F" w:rsidR="00170181" w:rsidRPr="00170181" w:rsidRDefault="00170181" w:rsidP="00170181">
      <w:pPr>
        <w:jc w:val="both"/>
        <w:rPr>
          <w:rFonts w:ascii="Times New Roman" w:hAnsi="Times New Roman" w:cs="Times New Roman"/>
          <w:b/>
          <w:bCs/>
        </w:rPr>
      </w:pPr>
      <w:r w:rsidRPr="00170181">
        <w:rPr>
          <w:rFonts w:ascii="Times New Roman" w:hAnsi="Times New Roman" w:cs="Times New Roman"/>
          <w:b/>
          <w:bCs/>
        </w:rPr>
        <w:t>Regression Equation</w:t>
      </w:r>
    </w:p>
    <w:p w14:paraId="6CED3BDF" w14:textId="0F71DC84" w:rsidR="00246F74" w:rsidRPr="008C52BE" w:rsidRDefault="00246F74" w:rsidP="008C52BE">
      <w:pPr>
        <w:rPr>
          <w:rFonts w:ascii="Times New Roman" w:hAnsi="Times New Roman" w:cs="Times New Roman"/>
        </w:rPr>
      </w:pPr>
      <w:r w:rsidRPr="008C52BE">
        <w:rPr>
          <w:rFonts w:ascii="Times New Roman" w:hAnsi="Times New Roman" w:cs="Times New Roman"/>
        </w:rPr>
        <w:t>India Equation</w:t>
      </w:r>
    </w:p>
    <w:p w14:paraId="641EDCE9" w14:textId="77777777" w:rsidR="00246F74" w:rsidRPr="00B30884" w:rsidRDefault="00246F74" w:rsidP="00246F74">
      <w:pPr>
        <w:rPr>
          <w:rFonts w:ascii="Times New Roman" w:hAnsi="Times New Roman" w:cs="Times New Roman"/>
        </w:rPr>
      </w:pPr>
      <w:r w:rsidRPr="00B30884">
        <w:rPr>
          <w:rFonts w:ascii="Times New Roman" w:hAnsi="Times New Roman" w:cs="Times New Roman"/>
        </w:rPr>
        <w:t>ESi = β(AAY) + β(PSSFS) + β(ESFS) + β(LSFS) + β(AFS) + β(IPOFS) + β(DFS) + β(RSFS) + β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(PSSFS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)(EFS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)(LFS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 β</w:t>
      </w:r>
      <w:r w:rsidRPr="00B30884"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(AFS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 + β</w:t>
      </w:r>
      <w:r w:rsidRPr="00B30884">
        <w:rPr>
          <w:rFonts w:ascii="Times New Roman" w:hAnsi="Times New Roman" w:cs="Times New Roman"/>
          <w:sz w:val="18"/>
          <w:szCs w:val="18"/>
        </w:rPr>
        <w:t>3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(RSFS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 + …. + β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12</w:t>
      </w:r>
      <w:r w:rsidRPr="00B30884">
        <w:rPr>
          <w:rFonts w:ascii="Times New Roman" w:hAnsi="Times New Roman" w:cs="Times New Roman"/>
        </w:rPr>
        <w:t>(PSSFS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)(EFS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)(LFS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) β</w:t>
      </w:r>
      <w:r w:rsidRPr="00B30884"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12</w:t>
      </w:r>
      <w:r w:rsidRPr="00B30884">
        <w:rPr>
          <w:rFonts w:ascii="Times New Roman" w:hAnsi="Times New Roman" w:cs="Times New Roman"/>
        </w:rPr>
        <w:t>(AFS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) + β</w:t>
      </w:r>
      <w:r w:rsidRPr="00B30884">
        <w:rPr>
          <w:rFonts w:ascii="Times New Roman" w:hAnsi="Times New Roman" w:cs="Times New Roman"/>
          <w:sz w:val="18"/>
          <w:szCs w:val="18"/>
        </w:rPr>
        <w:t>3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12</w:t>
      </w:r>
      <w:r w:rsidRPr="00B30884">
        <w:rPr>
          <w:rFonts w:ascii="Times New Roman" w:hAnsi="Times New Roman" w:cs="Times New Roman"/>
        </w:rPr>
        <w:t>(RSFS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) + c</w:t>
      </w:r>
    </w:p>
    <w:p w14:paraId="0F0DBD13" w14:textId="72A18724" w:rsidR="00246F74" w:rsidRPr="008C52BE" w:rsidRDefault="00246F74" w:rsidP="008C52BE">
      <w:pPr>
        <w:rPr>
          <w:rFonts w:ascii="Times New Roman" w:hAnsi="Times New Roman" w:cs="Times New Roman"/>
        </w:rPr>
      </w:pPr>
      <w:r w:rsidRPr="008C52BE">
        <w:rPr>
          <w:rFonts w:ascii="Times New Roman" w:hAnsi="Times New Roman" w:cs="Times New Roman"/>
        </w:rPr>
        <w:t>UK Equation</w:t>
      </w:r>
    </w:p>
    <w:p w14:paraId="1D1B40FF" w14:textId="77777777" w:rsidR="00246F74" w:rsidRPr="00B30884" w:rsidRDefault="00246F74" w:rsidP="00246F74">
      <w:pPr>
        <w:rPr>
          <w:rFonts w:ascii="Times New Roman" w:hAnsi="Times New Roman" w:cs="Times New Roman"/>
        </w:rPr>
      </w:pPr>
      <w:r w:rsidRPr="00B30884">
        <w:rPr>
          <w:rFonts w:ascii="Times New Roman" w:hAnsi="Times New Roman" w:cs="Times New Roman"/>
        </w:rPr>
        <w:t>ESi = β(AAY) + β(PSSFS) + β(ESFS) + β(LSFS) + β(AFS) + β(IPOFS) + β(DFS) + β(RSFS) + β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(PSSFS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)(EFS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)(LFS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 β</w:t>
      </w:r>
      <w:r w:rsidRPr="00B30884"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(AFS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 + β</w:t>
      </w:r>
      <w:r w:rsidRPr="00B30884">
        <w:rPr>
          <w:rFonts w:ascii="Times New Roman" w:hAnsi="Times New Roman" w:cs="Times New Roman"/>
          <w:sz w:val="18"/>
          <w:szCs w:val="18"/>
        </w:rPr>
        <w:t>3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(RSFS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) + …. + β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B30884">
        <w:rPr>
          <w:rFonts w:ascii="Times New Roman" w:hAnsi="Times New Roman" w:cs="Times New Roman"/>
        </w:rPr>
        <w:t>(PSSFS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B30884">
        <w:rPr>
          <w:rFonts w:ascii="Times New Roman" w:hAnsi="Times New Roman" w:cs="Times New Roman"/>
        </w:rPr>
        <w:t>)(EFS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B30884">
        <w:rPr>
          <w:rFonts w:ascii="Times New Roman" w:hAnsi="Times New Roman" w:cs="Times New Roman"/>
        </w:rPr>
        <w:t>)(LFS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B30884">
        <w:rPr>
          <w:rFonts w:ascii="Times New Roman" w:hAnsi="Times New Roman" w:cs="Times New Roman"/>
        </w:rPr>
        <w:t>) β</w:t>
      </w:r>
      <w:r w:rsidRPr="00B30884">
        <w:rPr>
          <w:rFonts w:ascii="Times New Roman" w:hAnsi="Times New Roman" w:cs="Times New Roman"/>
          <w:sz w:val="18"/>
          <w:szCs w:val="18"/>
        </w:rPr>
        <w:t>2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B30884">
        <w:rPr>
          <w:rFonts w:ascii="Times New Roman" w:hAnsi="Times New Roman" w:cs="Times New Roman"/>
        </w:rPr>
        <w:t>(AFS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B30884">
        <w:rPr>
          <w:rFonts w:ascii="Times New Roman" w:hAnsi="Times New Roman" w:cs="Times New Roman"/>
        </w:rPr>
        <w:t>) + β</w:t>
      </w:r>
      <w:r w:rsidRPr="00B30884">
        <w:rPr>
          <w:rFonts w:ascii="Times New Roman" w:hAnsi="Times New Roman" w:cs="Times New Roman"/>
          <w:sz w:val="18"/>
          <w:szCs w:val="18"/>
        </w:rPr>
        <w:t>3</w:t>
      </w:r>
      <w:r w:rsidRPr="00B30884">
        <w:rPr>
          <w:rFonts w:ascii="Times New Roman" w:hAnsi="Times New Roman" w:cs="Times New Roman"/>
        </w:rPr>
        <w:t>L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B30884">
        <w:rPr>
          <w:rFonts w:ascii="Times New Roman" w:hAnsi="Times New Roman" w:cs="Times New Roman"/>
        </w:rPr>
        <w:t>(RSFS</w:t>
      </w:r>
      <w:r w:rsidRPr="00B3088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B30884">
        <w:rPr>
          <w:rFonts w:ascii="Times New Roman" w:hAnsi="Times New Roman" w:cs="Times New Roman"/>
        </w:rPr>
        <w:t>) + c</w:t>
      </w:r>
    </w:p>
    <w:p w14:paraId="6132F1FF" w14:textId="756830DE" w:rsidR="00302F00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Where:</w:t>
      </w:r>
    </w:p>
    <w:p w14:paraId="1346562D" w14:textId="5BEE58D5" w:rsidR="00302F00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 = Employment Share</w:t>
      </w:r>
    </w:p>
    <w:p w14:paraId="6D24D9D7" w14:textId="73B1BA2F" w:rsidR="00302F00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PSSFS = Pre-Seed/Seed Funding Share</w:t>
      </w:r>
    </w:p>
    <w:p w14:paraId="3C96CD49" w14:textId="0378B93E" w:rsidR="00302F00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EFS = Early</w:t>
      </w:r>
      <w:r w:rsidR="001A2E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Stage Funding Share</w:t>
      </w:r>
    </w:p>
    <w:p w14:paraId="2EBB0369" w14:textId="197DBD42" w:rsidR="00302F00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LFS = Late</w:t>
      </w:r>
      <w:r w:rsidR="001A2E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Stage Funding Share</w:t>
      </w:r>
    </w:p>
    <w:p w14:paraId="2309E01D" w14:textId="0E0D3B04" w:rsidR="00302F00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AFS = Acquired Funding Share</w:t>
      </w:r>
    </w:p>
    <w:p w14:paraId="38C11C55" w14:textId="648EA7A8" w:rsidR="00302F00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IPOFS = IPO Funding Share</w:t>
      </w:r>
    </w:p>
    <w:p w14:paraId="00BA89CD" w14:textId="3C205302" w:rsidR="00302F00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DFS = Deadpooled Funding Share</w:t>
      </w:r>
    </w:p>
    <w:p w14:paraId="620A6749" w14:textId="5F9368E4" w:rsidR="00302F00" w:rsidRPr="00170181" w:rsidRDefault="00302F00" w:rsidP="001701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RSFS = Regulatory Sandbox Funding Share</w:t>
      </w:r>
    </w:p>
    <w:p w14:paraId="4E62A779" w14:textId="162B7E3B" w:rsidR="008C52BE" w:rsidRPr="008C52BE" w:rsidRDefault="00170181" w:rsidP="008C52BE">
      <w:pPr>
        <w:jc w:val="both"/>
        <w:rPr>
          <w:rFonts w:ascii="Times New Roman" w:hAnsi="Times New Roman" w:cs="Times New Roman"/>
          <w:b/>
          <w:bCs/>
        </w:rPr>
      </w:pPr>
      <w:r w:rsidRPr="00170181">
        <w:rPr>
          <w:rFonts w:ascii="Times New Roman" w:hAnsi="Times New Roman" w:cs="Times New Roman"/>
          <w:b/>
          <w:bCs/>
        </w:rPr>
        <w:t>Results</w:t>
      </w:r>
    </w:p>
    <w:p w14:paraId="2AEFC937" w14:textId="39992D5C" w:rsidR="008C52BE" w:rsidRPr="008C52BE" w:rsidRDefault="008C52BE" w:rsidP="008C52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India</w:t>
      </w:r>
    </w:p>
    <w:p w14:paraId="59297253" w14:textId="1D9652B6" w:rsidR="00170181" w:rsidRP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When assessed for FinTech funding variables independently, there is no significance for any of the funding stages and employment contribution</w:t>
      </w:r>
      <w:r w:rsidRPr="00170181">
        <w:rPr>
          <w:rFonts w:ascii="Times New Roman" w:hAnsi="Times New Roman" w:cs="Times New Roman"/>
        </w:rPr>
        <w:t>.</w:t>
      </w:r>
    </w:p>
    <w:p w14:paraId="259DE659" w14:textId="43523A78" w:rsidR="00170181" w:rsidRP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There is positive coefficient and significance for Regulatory Sandbox funding share and its impact on employment in India</w:t>
      </w:r>
      <w:r w:rsidRPr="00170181">
        <w:rPr>
          <w:rFonts w:ascii="Times New Roman" w:hAnsi="Times New Roman" w:cs="Times New Roman"/>
        </w:rPr>
        <w:t>.</w:t>
      </w:r>
    </w:p>
    <w:p w14:paraId="12AE9378" w14:textId="0C547A88" w:rsidR="00170181" w:rsidRP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When assessing for states using interaction, Pre-Seed/Seed, Early</w:t>
      </w:r>
      <w:r w:rsidR="008C52BE">
        <w:rPr>
          <w:rFonts w:ascii="Times New Roman" w:hAnsi="Times New Roman" w:cs="Times New Roman"/>
        </w:rPr>
        <w:t>-</w:t>
      </w:r>
      <w:r w:rsidRPr="00170181">
        <w:rPr>
          <w:rFonts w:ascii="Times New Roman" w:hAnsi="Times New Roman" w:cs="Times New Roman"/>
        </w:rPr>
        <w:t>Stage and Late</w:t>
      </w:r>
      <w:r w:rsidR="008C52BE">
        <w:rPr>
          <w:rFonts w:ascii="Times New Roman" w:hAnsi="Times New Roman" w:cs="Times New Roman"/>
        </w:rPr>
        <w:t>-</w:t>
      </w:r>
      <w:r w:rsidRPr="00170181">
        <w:rPr>
          <w:rFonts w:ascii="Times New Roman" w:hAnsi="Times New Roman" w:cs="Times New Roman"/>
        </w:rPr>
        <w:t>Stage Funding are clubbed together</w:t>
      </w:r>
      <w:r w:rsidRPr="00170181">
        <w:rPr>
          <w:rFonts w:ascii="Times New Roman" w:hAnsi="Times New Roman" w:cs="Times New Roman"/>
        </w:rPr>
        <w:t>.</w:t>
      </w:r>
    </w:p>
    <w:p w14:paraId="3D7CC593" w14:textId="3EE14F6E" w:rsidR="00170181" w:rsidRP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We find large states like Karnataka, Maharashtra, Tamil Nadu to have positive coefficients and significance for various funding stages</w:t>
      </w:r>
      <w:r w:rsidRPr="00170181">
        <w:rPr>
          <w:rFonts w:ascii="Times New Roman" w:hAnsi="Times New Roman" w:cs="Times New Roman"/>
        </w:rPr>
        <w:t>.</w:t>
      </w:r>
    </w:p>
    <w:p w14:paraId="024D94AF" w14:textId="7664F715" w:rsidR="00170181" w:rsidRP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Suggests that for these states, FinTech startups receiving Pre-Seed/Seed, Early Stage, Late Stage, Acquisition or IPO funding boosts employment</w:t>
      </w:r>
      <w:r w:rsidRPr="00170181">
        <w:rPr>
          <w:rFonts w:ascii="Times New Roman" w:hAnsi="Times New Roman" w:cs="Times New Roman"/>
        </w:rPr>
        <w:t>.</w:t>
      </w:r>
    </w:p>
    <w:p w14:paraId="69F0620E" w14:textId="73898132" w:rsidR="00170181" w:rsidRDefault="00170181" w:rsidP="001701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0181">
        <w:rPr>
          <w:rFonts w:ascii="Times New Roman" w:hAnsi="Times New Roman" w:cs="Times New Roman"/>
        </w:rPr>
        <w:t>Shows a positive impact of government-led investment in FinTech growth in these states (Bangalore, Gurgaon, Mumbai)</w:t>
      </w:r>
      <w:r w:rsidRPr="00170181">
        <w:rPr>
          <w:rFonts w:ascii="Times New Roman" w:hAnsi="Times New Roman" w:cs="Times New Roman"/>
        </w:rPr>
        <w:t>.</w:t>
      </w:r>
    </w:p>
    <w:p w14:paraId="3E0E3D05" w14:textId="3681597E" w:rsidR="008C52BE" w:rsidRPr="008C52BE" w:rsidRDefault="008C52BE" w:rsidP="008C52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</w:t>
      </w:r>
    </w:p>
    <w:p w14:paraId="55A5E833" w14:textId="50E0FE5B" w:rsidR="008C52BE" w:rsidRPr="008C52BE" w:rsidRDefault="008C52BE" w:rsidP="008C52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C52BE">
        <w:rPr>
          <w:rFonts w:ascii="Times New Roman" w:hAnsi="Times New Roman" w:cs="Times New Roman"/>
        </w:rPr>
        <w:t>When assessed for FinTech funding variables independently, there is significance only for the Public (IPO) with a positive coefficient</w:t>
      </w:r>
      <w:r>
        <w:rPr>
          <w:rFonts w:ascii="Times New Roman" w:hAnsi="Times New Roman" w:cs="Times New Roman"/>
        </w:rPr>
        <w:t>.</w:t>
      </w:r>
    </w:p>
    <w:p w14:paraId="531BCFAB" w14:textId="6DE11D19" w:rsidR="008C52BE" w:rsidRPr="008C52BE" w:rsidRDefault="008C52BE" w:rsidP="008C52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C52BE">
        <w:rPr>
          <w:rFonts w:ascii="Times New Roman" w:hAnsi="Times New Roman" w:cs="Times New Roman"/>
        </w:rPr>
        <w:t>In the UK interaction regression, we find (as expected) London to have positive coefficients and significance for Pre-Seed/Seed, Early</w:t>
      </w:r>
      <w:r>
        <w:rPr>
          <w:rFonts w:ascii="Times New Roman" w:hAnsi="Times New Roman" w:cs="Times New Roman"/>
        </w:rPr>
        <w:t>-</w:t>
      </w:r>
      <w:r w:rsidRPr="008C52BE">
        <w:rPr>
          <w:rFonts w:ascii="Times New Roman" w:hAnsi="Times New Roman" w:cs="Times New Roman"/>
        </w:rPr>
        <w:t>Stage &amp; Late</w:t>
      </w:r>
      <w:r>
        <w:rPr>
          <w:rFonts w:ascii="Times New Roman" w:hAnsi="Times New Roman" w:cs="Times New Roman"/>
        </w:rPr>
        <w:t>-</w:t>
      </w:r>
      <w:r w:rsidRPr="008C52BE">
        <w:rPr>
          <w:rFonts w:ascii="Times New Roman" w:hAnsi="Times New Roman" w:cs="Times New Roman"/>
        </w:rPr>
        <w:t>Stage Funding, as well as Acquisition Funding</w:t>
      </w:r>
      <w:r>
        <w:rPr>
          <w:rFonts w:ascii="Times New Roman" w:hAnsi="Times New Roman" w:cs="Times New Roman"/>
        </w:rPr>
        <w:t>.</w:t>
      </w:r>
    </w:p>
    <w:p w14:paraId="01A78C52" w14:textId="61AB3F68" w:rsidR="008C52BE" w:rsidRPr="00170181" w:rsidRDefault="008C52BE" w:rsidP="008C52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C52BE">
        <w:rPr>
          <w:rFonts w:ascii="Times New Roman" w:hAnsi="Times New Roman" w:cs="Times New Roman"/>
        </w:rPr>
        <w:t>Other clusters with high coefficients of funding are Scotland (Edinburgh/Glasgow), The Pennines (Manchester/Leeds/Sheffield) and Bristol/Bath though no significance in any of these</w:t>
      </w:r>
      <w:r>
        <w:rPr>
          <w:rFonts w:ascii="Times New Roman" w:hAnsi="Times New Roman" w:cs="Times New Roman"/>
        </w:rPr>
        <w:t>.</w:t>
      </w:r>
    </w:p>
    <w:sectPr w:rsidR="008C52BE" w:rsidRPr="001701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41556"/>
    <w:multiLevelType w:val="hybridMultilevel"/>
    <w:tmpl w:val="20FA7EBC"/>
    <w:lvl w:ilvl="0" w:tplc="1FE27F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985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B26"/>
    <w:rsid w:val="00170181"/>
    <w:rsid w:val="001A2EA8"/>
    <w:rsid w:val="00246F74"/>
    <w:rsid w:val="00286B26"/>
    <w:rsid w:val="00302F00"/>
    <w:rsid w:val="004C67F8"/>
    <w:rsid w:val="004F044B"/>
    <w:rsid w:val="007F2336"/>
    <w:rsid w:val="008C52BE"/>
    <w:rsid w:val="00C1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D623D"/>
  <w15:chartTrackingRefBased/>
  <w15:docId w15:val="{EF099283-8D85-4504-855C-E009C6257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6B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B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B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B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B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B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B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B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B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B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B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B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B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B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B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B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B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B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B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B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B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B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B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B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6B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B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B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B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B2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1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Khan</dc:creator>
  <cp:keywords/>
  <dc:description/>
  <cp:lastModifiedBy>Ahmed Khan</cp:lastModifiedBy>
  <cp:revision>10</cp:revision>
  <dcterms:created xsi:type="dcterms:W3CDTF">2024-09-26T15:30:00Z</dcterms:created>
  <dcterms:modified xsi:type="dcterms:W3CDTF">2024-09-26T15:59:00Z</dcterms:modified>
</cp:coreProperties>
</file>